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0BBD53">
      <w:pPr>
        <w:spacing w:line="480" w:lineRule="exact"/>
        <w:ind w:firstLine="652" w:firstLineChars="200"/>
        <w:jc w:val="center"/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val="en-US" w:eastAsia="zh-CN"/>
        </w:rPr>
        <w:t>县人民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医院</w:t>
      </w:r>
    </w:p>
    <w:p w14:paraId="385C9C0F">
      <w:pPr>
        <w:spacing w:line="480" w:lineRule="exact"/>
        <w:ind w:firstLine="652" w:firstLineChars="200"/>
        <w:jc w:val="center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val="en-US" w:eastAsia="zh-CN"/>
        </w:rPr>
        <w:t>医务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科室功能需求</w:t>
      </w:r>
    </w:p>
    <w:p w14:paraId="306CA956">
      <w:pPr>
        <w:spacing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检验、病理</w:t>
      </w:r>
      <w:r>
        <w:rPr>
          <w:rFonts w:hint="eastAsia"/>
          <w:sz w:val="24"/>
        </w:rPr>
        <w:t>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5BA83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8E8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8A80A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遂溪县人民医院</w:t>
            </w:r>
            <w:r>
              <w:rPr>
                <w:rFonts w:hint="eastAsia"/>
                <w:sz w:val="24"/>
                <w:lang w:val="en-US" w:eastAsia="zh-CN"/>
              </w:rPr>
              <w:t>外送第三方检验病理项目</w:t>
            </w:r>
          </w:p>
        </w:tc>
      </w:tr>
      <w:tr w14:paraId="445BC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A08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2F5DD0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5A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8A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525800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2F6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61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10558E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E88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0</w:t>
            </w:r>
          </w:p>
        </w:tc>
      </w:tr>
      <w:tr w14:paraId="0017C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AB226D6">
            <w:pPr>
              <w:pStyle w:val="5"/>
              <w:spacing w:before="0" w:beforeAutospacing="0"/>
              <w:ind w:right="1470"/>
              <w:rPr>
                <w:szCs w:val="21"/>
              </w:rPr>
            </w:pPr>
            <w:r>
              <w:rPr>
                <w:rFonts w:hint="eastAsia" w:ascii="等线" w:hAnsi="等线" w:eastAsia="等线" w:cs="宋体"/>
                <w:b/>
                <w:kern w:val="0"/>
                <w:sz w:val="24"/>
                <w:szCs w:val="24"/>
              </w:rPr>
              <w:t>主要功能要求</w:t>
            </w:r>
            <w:r>
              <w:rPr>
                <w:rFonts w:hint="eastAsia" w:ascii="等线" w:hAnsi="等线" w:eastAsia="等线" w:cs="仿宋_GB2312"/>
                <w:b/>
                <w:sz w:val="24"/>
                <w:szCs w:val="24"/>
              </w:rPr>
              <w:t>：</w:t>
            </w:r>
            <w:r>
              <w:rPr>
                <w:rFonts w:cs="Segoe UI" w:asciiTheme="minorEastAsia" w:hAnsiTheme="minorEastAsia" w:eastAsiaTheme="minorEastAsia"/>
                <w:color w:val="404040"/>
                <w:sz w:val="24"/>
                <w:szCs w:val="24"/>
              </w:rPr>
              <w:br w:type="textWrapping"/>
            </w:r>
            <w:r>
              <w:rPr>
                <w:rStyle w:val="10"/>
                <w:rFonts w:cs="Segoe UI" w:asciiTheme="minorEastAsia" w:hAnsiTheme="minorEastAsia" w:eastAsiaTheme="minorEastAsia"/>
                <w:color w:val="404040"/>
                <w:sz w:val="24"/>
                <w:szCs w:val="24"/>
              </w:rPr>
              <w:t xml:space="preserve"> </w:t>
            </w:r>
          </w:p>
          <w:tbl>
            <w:tblPr>
              <w:tblStyle w:val="8"/>
              <w:tblpPr w:leftFromText="180" w:rightFromText="180" w:vertAnchor="page" w:horzAnchor="margin" w:tblpY="264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8"/>
              <w:gridCol w:w="6384"/>
            </w:tblGrid>
            <w:tr w14:paraId="6FC6B4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65D61B69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项目名称：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103C435A">
                  <w:pPr>
                    <w:tabs>
                      <w:tab w:val="left" w:pos="508"/>
                    </w:tabs>
                    <w:rPr>
                      <w:rFonts w:ascii="仿宋_GB2312" w:eastAsia="仿宋_GB2312"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</w:rPr>
                    <w:t>遂溪县人民医院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0000FF"/>
                      <w:kern w:val="2"/>
                      <w:sz w:val="32"/>
                      <w:szCs w:val="32"/>
                      <w:highlight w:val="none"/>
                      <w:lang w:val="en-US" w:eastAsia="zh-CN" w:bidi="ar-SA"/>
                    </w:rPr>
                    <w:t>外送第三方检验病理项目</w:t>
                  </w:r>
                </w:p>
              </w:tc>
            </w:tr>
            <w:tr w14:paraId="21FA66E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3E81775A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预算金额：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6837CB6F">
                  <w:pP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</w:rPr>
                    <w:t>0万元/年，服务期限为</w:t>
                  </w: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</w:rPr>
                    <w:t>年，预算金额共</w:t>
                  </w: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</w:rPr>
                    <w:t>0万元，最终以实际结算为准</w:t>
                  </w: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  <w:lang w:val="en-US" w:eastAsia="zh-CN"/>
                    </w:rPr>
                    <w:t>.</w:t>
                  </w:r>
                </w:p>
              </w:tc>
            </w:tr>
            <w:tr w14:paraId="676512F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5A3D1183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资质要求：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11093770">
                  <w:pPr>
                    <w:rPr>
                      <w:rFonts w:hint="default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</w:rPr>
                    <w:t>应具备《中华人民共和国政府采购法》第二十二条规定的条件</w:t>
                  </w:r>
                </w:p>
              </w:tc>
            </w:tr>
            <w:tr w14:paraId="76CCAF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049096C3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要求送货地点（项目实施地点）及送货要求：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68FF557E">
                  <w:pPr>
                    <w:rPr>
                      <w:rFonts w:hint="default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FF"/>
                      <w:sz w:val="32"/>
                      <w:szCs w:val="32"/>
                    </w:rPr>
                    <w:t>遂溪县人民医院</w:t>
                  </w:r>
                </w:p>
              </w:tc>
            </w:tr>
            <w:tr w14:paraId="3DBE34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2D94929D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质量要求(标准)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6808D125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24" w:beforeAutospacing="0" w:after="0" w:afterAutospacing="0" w:line="420" w:lineRule="atLeast"/>
                    <w:ind w:right="0"/>
                    <w:jc w:val="both"/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1、</w:t>
                  </w:r>
                  <w:r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机构应依法取得独立设置医疗机构执业许可证，并具有相关登记或核准的诊疗科目。</w:t>
                  </w:r>
                </w:p>
                <w:p w14:paraId="29F592FD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24" w:beforeAutospacing="0" w:after="0" w:afterAutospacing="0" w:line="420" w:lineRule="atLeast"/>
                    <w:ind w:right="0"/>
                    <w:jc w:val="both"/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2</w:t>
                  </w:r>
                  <w:r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、应当遵循有关法规要求，定期参加省级以上质控中心组织的室间质量评价。有条件的医学检验实验室应通过IS015189《医学实验室质量和能力认可准则》。</w:t>
                  </w:r>
                  <w:bookmarkStart w:id="0" w:name="_GoBack"/>
                  <w:bookmarkEnd w:id="0"/>
                </w:p>
                <w:p w14:paraId="5F724064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3</w:t>
                  </w:r>
                  <w:r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、应当建立满足服务质量要求的信息管理系统，建立系统数据安全管理制度和应急措施。具备与医疗信息系统联网能力。</w:t>
                  </w:r>
                </w:p>
              </w:tc>
            </w:tr>
            <w:tr w14:paraId="1D4337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4918D25D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服务要求：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4681A0A8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24" w:beforeAutospacing="0" w:after="0" w:afterAutospacing="0" w:line="420" w:lineRule="atLeast"/>
                    <w:ind w:right="0"/>
                    <w:jc w:val="both"/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1、根据医疗机构执业医师提出的检查检验申请，接收其提供的血液、体液、组织标本，并向医疗机构或申请者提供诊断报告。申请者的经治医师负责对检验结果最终解释。必要时，第三方机构应当提供与诊断结果相关的技术解释。第三方机构不得在合作医疗机构内直接面向患者开展检查检验服务。</w:t>
                  </w:r>
                </w:p>
                <w:p w14:paraId="40BCECDF">
                  <w:pPr>
                    <w:pStyle w:val="5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fill="FFFFFF"/>
                    <w:spacing w:before="24" w:beforeAutospacing="0" w:after="0" w:afterAutospacing="0" w:line="420" w:lineRule="atLeast"/>
                    <w:ind w:right="0"/>
                    <w:jc w:val="both"/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2、检查检验报告的书写、保存应按照国家有关要求执行，确保报告的真实性、及时性，并保护患者隐私。</w:t>
                  </w:r>
                </w:p>
                <w:p w14:paraId="0A1D96AD">
                  <w:pPr>
                    <w:rPr>
                      <w:rFonts w:hint="eastAsia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hAnsi="Calibri" w:eastAsia="仿宋_GB2312" w:cs="Times New Roman"/>
                      <w:bCs/>
                      <w:color w:val="0000FF"/>
                      <w:kern w:val="2"/>
                      <w:sz w:val="32"/>
                      <w:szCs w:val="32"/>
                      <w:lang w:val="en-US" w:eastAsia="zh-CN" w:bidi="ar-SA"/>
                    </w:rPr>
                    <w:t>3、接收合作项目标本数量应当与工作能力相匹配，建立需求超过自身服务能力的预案，避免标本数量明显超出检验能力导致的标本积压、标本失效、检测结果反馈迟缓等问题。</w:t>
                  </w:r>
                </w:p>
              </w:tc>
            </w:tr>
            <w:tr w14:paraId="4DA2CF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7807F309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供货期：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42BC6D05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自签订合同之日起</w:t>
                  </w: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  <w:t>当</w:t>
                  </w: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 xml:space="preserve">天 </w:t>
                  </w:r>
                </w:p>
              </w:tc>
            </w:tr>
            <w:tr w14:paraId="3F6C22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13640D45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保修期：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045AB2B4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自验收合格之日起</w:t>
                  </w: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  <w:t>1</w:t>
                  </w: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年</w:t>
                  </w:r>
                </w:p>
              </w:tc>
            </w:tr>
            <w:tr w14:paraId="766198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6970084B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付款方式：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44D6D929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32"/>
                      <w:szCs w:val="32"/>
                      <w:lang w:val="en-US" w:eastAsia="zh-CN"/>
                    </w:rPr>
                    <w:t>每季度采用银行转账、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32"/>
                      <w:szCs w:val="32"/>
                    </w:rPr>
                    <w:t>电子供应链数字信用凭据、保理、银行承兑汇票等方式结算</w:t>
                  </w:r>
                  <w:r>
                    <w:rPr>
                      <w:rFonts w:hint="eastAsia" w:ascii="仿宋" w:hAnsi="仿宋" w:eastAsia="仿宋" w:cs="仿宋"/>
                      <w:b w:val="0"/>
                      <w:bCs/>
                      <w:sz w:val="32"/>
                      <w:szCs w:val="32"/>
                      <w:lang w:eastAsia="zh-CN"/>
                    </w:rPr>
                    <w:t>。</w:t>
                  </w:r>
                </w:p>
              </w:tc>
            </w:tr>
            <w:tr w14:paraId="68712C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2505F540">
                  <w:pPr>
                    <w:rPr>
                      <w:rFonts w:ascii="仿宋_GB2312" w:eastAsia="仿宋_GB2312"/>
                      <w:bCs/>
                      <w:sz w:val="32"/>
                      <w:szCs w:val="32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</w:rPr>
                    <w:t>验收方式：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4133E5C4">
                  <w:pPr>
                    <w:rPr>
                      <w:rFonts w:hint="default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  <w:t>对第三方检验机构出具的病理检查报告进行审核，检查报告的格式、内容是否规范，诊断结论是否准确。</w:t>
                  </w:r>
                </w:p>
              </w:tc>
            </w:tr>
            <w:tr w14:paraId="769EAA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8" w:type="dxa"/>
                  <w:shd w:val="clear" w:color="auto" w:fill="auto"/>
                </w:tcPr>
                <w:p w14:paraId="56E97A9A">
                  <w:pPr>
                    <w:rPr>
                      <w:rFonts w:hint="default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  <w:t>报折扣率：</w:t>
                  </w:r>
                </w:p>
              </w:tc>
              <w:tc>
                <w:tcPr>
                  <w:tcW w:w="6384" w:type="dxa"/>
                  <w:shd w:val="clear" w:color="auto" w:fill="auto"/>
                </w:tcPr>
                <w:p w14:paraId="1C687C20">
                  <w:pPr>
                    <w:rPr>
                      <w:rFonts w:hint="default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Cs/>
                      <w:sz w:val="32"/>
                      <w:szCs w:val="32"/>
                      <w:lang w:val="en-US" w:eastAsia="zh-CN"/>
                    </w:rPr>
                    <w:t>≤6折。</w:t>
                  </w:r>
                </w:p>
              </w:tc>
            </w:tr>
          </w:tbl>
          <w:p w14:paraId="23E986B0">
            <w:pPr>
              <w:pStyle w:val="5"/>
              <w:spacing w:before="0" w:beforeAutospacing="0"/>
              <w:ind w:right="1470"/>
              <w:rPr>
                <w:szCs w:val="21"/>
              </w:rPr>
            </w:pPr>
          </w:p>
        </w:tc>
      </w:tr>
    </w:tbl>
    <w:p w14:paraId="5D8F11BF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</w:t>
      </w:r>
      <w:r>
        <w:rPr>
          <w:rFonts w:hint="eastAsia"/>
          <w:b/>
          <w:lang w:val="en-US" w:eastAsia="zh-CN"/>
        </w:rPr>
        <w:t>科室</w:t>
      </w:r>
      <w:r>
        <w:rPr>
          <w:rFonts w:hint="eastAsia"/>
          <w:b/>
        </w:rPr>
        <w:t>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CD"/>
    <w:rsid w:val="002938FF"/>
    <w:rsid w:val="00376A82"/>
    <w:rsid w:val="003E702A"/>
    <w:rsid w:val="004761FE"/>
    <w:rsid w:val="00594475"/>
    <w:rsid w:val="005C0DCD"/>
    <w:rsid w:val="0062117A"/>
    <w:rsid w:val="006464EC"/>
    <w:rsid w:val="00765578"/>
    <w:rsid w:val="00786254"/>
    <w:rsid w:val="007B6BCD"/>
    <w:rsid w:val="007D7F98"/>
    <w:rsid w:val="00811613"/>
    <w:rsid w:val="008543E3"/>
    <w:rsid w:val="00976564"/>
    <w:rsid w:val="009A087E"/>
    <w:rsid w:val="009A21C4"/>
    <w:rsid w:val="00A87BC9"/>
    <w:rsid w:val="00B164FA"/>
    <w:rsid w:val="00BE3F8D"/>
    <w:rsid w:val="00C579D5"/>
    <w:rsid w:val="00CC1649"/>
    <w:rsid w:val="00CC7A4E"/>
    <w:rsid w:val="00D002E0"/>
    <w:rsid w:val="00D02798"/>
    <w:rsid w:val="00D30730"/>
    <w:rsid w:val="00D71036"/>
    <w:rsid w:val="00DC06CF"/>
    <w:rsid w:val="00E40B07"/>
    <w:rsid w:val="00EF215D"/>
    <w:rsid w:val="00F36466"/>
    <w:rsid w:val="00F74E2A"/>
    <w:rsid w:val="047F6E17"/>
    <w:rsid w:val="093C30A9"/>
    <w:rsid w:val="195F6411"/>
    <w:rsid w:val="1CCF3E56"/>
    <w:rsid w:val="22B12860"/>
    <w:rsid w:val="2E541170"/>
    <w:rsid w:val="444A2578"/>
    <w:rsid w:val="45AA1238"/>
    <w:rsid w:val="51634101"/>
    <w:rsid w:val="5E9D36BD"/>
    <w:rsid w:val="61592856"/>
    <w:rsid w:val="706758D9"/>
    <w:rsid w:val="76EA3E04"/>
    <w:rsid w:val="7B216A6C"/>
    <w:rsid w:val="7E793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442</Words>
  <Characters>456</Characters>
  <Lines>4</Lines>
  <Paragraphs>1</Paragraphs>
  <TotalTime>0</TotalTime>
  <ScaleCrop>false</ScaleCrop>
  <LinksUpToDate>false</LinksUpToDate>
  <CharactersWithSpaces>459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2022-06-15T03:24:00Z</dcterms:created>
  <dc:creator>郭晓燕</dc:creator>
  <cp:lastModifiedBy>阳春白雪杨承超</cp:lastModifiedBy>
  <dcterms:modified xsi:type="dcterms:W3CDTF">2025-04-10T10:28:34Z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ADB4B0A5241F4D7FA4231D08336E4DEC_13</vt:lpwstr>
  </property>
  <property fmtid="{D5CDD505-2E9C-101B-9397-08002B2CF9AE}" pid="4" name="KSOTemplateDocerSaveRecord">
    <vt:lpwstr>eyJoZGlkIjoiNDlkYzMzNGExNThlMzA0YTdjMDIxNThkM2U4MDJlODIiLCJ1c2VySWQiOiIzMzc5NjMxNDIifQ==</vt:lpwstr>
  </property>
</Properties>
</file>